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217</w:t>
      </w:r>
    </w:p>
    <w:p>
      <w:r>
        <w:t>Bundesgericht (BGE), 1999-05-11, DE</w:t>
      </w:r>
    </w:p>
    <w:p>
      <w:r>
        <w:rPr>
          <w:b/>
        </w:rPr>
        <w:t xml:space="preserve">Quelle: </w:t>
      </w:r>
      <w:r>
        <w:t>https://mcp.opencaselaw.ch/entscheid/bge_125 II 217</w:t>
      </w:r>
    </w:p>
    <w:p>
      <w:r>
        <w:t>FR: ATF 125 II 217</w:t>
      </w:r>
    </w:p>
    <w:p>
      <w:r>
        <w:t>IT: DTF 125 II 217</w:t>
      </w:r>
    </w:p>
    <w:p>
      <w:pPr>
        <w:pStyle w:val="Heading2"/>
      </w:pPr>
      <w:r>
        <w:t>Regeste</w:t>
      </w:r>
    </w:p>
    <w:p>
      <w:r>
        <w:t>Regeste Art. 13c Abs. 5 lit. a ANAG und Art. 13c Abs. 4 ANAG, Art. 5 Ziff. 1 lit. f EMRK, Art. 105 Abs. 2 OG; Verhältnismässigkeit der Ausschaffungshaft eines straffällig gewordenen Kosovo- Albaners. Zur Aufrechterhaltung der Ausschaffungshaft muss der dadurch gesicherte Vollzug der Wegweisung «absehbar» sein; für Kosovo-Albaner soll bei der entsprechenden Prognose nicht ohne besonderen Anlass auf die maximal mögliche Haftdauer abgestellt werden (E. 2 u. 3b). Trotz grundsätzlichem Novenverbot (E. 3a) berücksichtigt das Bundesgericht die veränderten Verhältnisse in casu selber, da der Haftrichter ein seit seinem ersten Entscheid eingereichtes weiteres Entlassungsgesuch entgegen BGE 124 II 1 ff. nicht an die Hand genommen hat (E. 3c).</w:t>
      </w:r>
    </w:p>
    <w:p>
      <w:pPr>
        <w:pStyle w:val="Heading2"/>
      </w:pPr>
      <w:r>
        <w:t>Erwägungen</w:t>
      </w:r>
    </w:p>
    <w:p>
      <w:r>
        <w:rPr>
          <w:b/>
        </w:rPr>
        <w:t>E. 1</w:t>
      </w:r>
    </w:p>
    <w:p>
      <w:r>
        <w:t>Die zuständige Behörde kann einen Ausländer bei Vorliegen der Voraussetzungen von Art. 13b ANAG in Ausschaffungshaft nehmen bzw. dort belassen; diese waren vorliegend ursprünglich erfüllt: Der Beschwerdeführer wurde rechtskräftig aus der Schweiz weggewiesen (vgl. Art. 13b Abs. 1 ANAG ; BGE 121 II 59 E. 2 S. 61; BGE 122 II 148 E. 1 S. 150). Sein bisheriges Verhalten (Untertauchen, Verwendung einer falschen Identität, Einreise trotz entsprechender Sperre) liess ohne weiteres den Schluss zu, dass er sich - ohne Haft - zu gegebener Zeit für den Vollzug der Wegweisung nicht zur Verfügung halten würde ( Art. 13b Abs. 1 lit. c ANAG ; BGE 122 II 49 E. 2a S. 50 f.; BGE 119 Ib 193 E. 2b S. 198). Die Behörden sind dem Beschleunigungsgebot nachgekommen ( Art. 13b Abs. 3 ANAG ; BGE 124 II 49 ff.); die Haftbedingungen ihrerseits wurden nie beanstandet (vgl. Art. 13c Abs. 3 sowie Art. 13d Abs. 2 ANAG ; BGE 123 I 221 ff.; BGE 122 II 299 ff.; BGE 122 II 49 E. 5 S. 52 ff.). Der angefochtene Entscheid ist deshalb bundesrechtskonform, falls die Aufrechterhaltung der Haft weiterhin verhältnismässig ist und der Vollzug der Wegweisung nicht - wie der Beschwerdeführer einwendet - aus rechtlichen oder tatsächlichen Gründen inzwischen als undurchführbar zu gelten hat; in diesem Fall liesse sich die Haft nicht mehr mit einem hängigen Ausweisungsverfahren rechtfertigen, und sie verstiesse deshalb gegen Art. 5 Ziff. 1 lit. f EMRK (vgl. Art. 13c Abs. 5 lit. a ANAG ; BGE 119 Ib 193 E. 2c S. 198 f.; BGE 125 II 217 S. 220 vgl. auch BGE 122 II 148 E. 3 S. 152 f.; ausführlich: Urteil vom 24. Mai 1995 i.S. Troshupa, E. 4, veröffentlicht in: Praxis 85/1996 Nr. 118 S. 383 ff.).</w:t>
      </w:r>
    </w:p>
    <w:p>
      <w:r>
        <w:rPr>
          <w:b/>
        </w:rPr>
        <w:t>E. 2</w:t>
      </w:r>
    </w:p>
    <w:p>
      <w:r>
        <w:t>Der Umstand allein, dass die Ausreise nur schwer organisiert werden kann, lässt die Haft nicht bereits dahinfallen oder die Ausschaffung als undurchführbar erscheinen. Gerade wegen solcher Schwierigkeiten und Ungewissheiten hat der Gesetzgeber die Haftdauer erheblich erhöht und die Möglichkeit der Haftverlägerung geschaffen (BBl 1994 I 305ff. S. 316). Die Haft ist gestützt auf Art. 13c Abs. 5 lit. a (2. Halbsatz) ANAG, weil unverhältnismässig, nur dann aufzuheben, wenn für die Undurchführbarkeit des Vollzugs der Entfernungsmassnahme triftige Gründe sprechen oder praktisch feststeht, dass sich die Ausschaffung innert der gesetzlichen Frist kaum wird realisieren lassen ( BGE 122 II 148 E. 3 S. 152 f.). Dies ist in der Regel nur der Fall, wenn die Ausschaffung auch bei gesicherter Kenntnis der Identität oder der Nationalität des Betroffenen bzw. trotz seines Mitwirkens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(Alain Wurzburger, La jurisprudence récente du Tribunal fédéral en matière de police des étrangers, in: RDAF 1997 I S. 330 f., so auch statt zahlreicher anderer unveröffentlichter Entscheide das Urteil vom 2. November 1998 i.S. Musa, E. 4b). Als rechtliche Gründe können der Ausschaffung das Gebot des Non-refoulements oder eine Unzumutbarkeit des Vollzugs entgegenstehen, weil der Ausländer im Heimatstaat einer konkreten Gefährdung ausgesetzt wäre ( Art. 14a Abs. 3 und 4 ANAG ). Diesbezüglich sind die Prüfungspflichten des Haftrich- ters allerdings beschränkt: Gegenstand seines Verfahrens bildet ausschliesslich die Rechtmässigkeit und Angemessenheit der Ausschaffungshaft als solcher (vgl. Art. 13c Abs. 2 ANAG ), indessen nicht auch die Asyl- und Wegweisungsfrage; über diese entscheiden die zuständigen ausländerrechtlichen Behörden an sich abschliessend und verbindlich (vgl. Art. 100 Abs. 1 lit. b Ziff. 4 und 5 OG und Art. 11 Abs. 2 lit. b AsylG ). Der Haftrichter hat die Haftgenehmigung deshalb nur zu verweigern, wenn sich der zu sichernde Wegweisungsentscheid als offensichtlich unzulässig erweist (vgl. BGE 121 II 59 E. 2c S. 62). Dies ist nicht bereits dann der Fall, wenn eine Wegweisung trotz Ausschaffungsstopps vollzogen wird, weil der BGE 125 II 217 S. 221 Betroffene wegen seiner Straffälligkeit hiervon ausgenommen wurde. In solchen Situationen ist auf dem Rechtsmittelweg oder wiedererwägungsweise an die für die Wegweisung zuständigen (Asyl-)Behörden zu gelangen. Die Frage, welche Schwere die Delinquenz für einen Ausschluss vom Aufschub des Wegweisungsvollzugs erreichen muss und in welchem Verfahren hierüber zu entscheiden ist, bildet ebenso wenig Gegenstand der Haftprüfung wie jene, ob eine Wegweisung wegen nachträglich veränderter Umstände unzumutbar geworden sein könnte (so bezüglich des Kosovos die unveröffentlichten Entscheide vom 5. Oktober 1998 i.S. Salihi und vom 2. November 1998 i.S. Musa).</w:t>
      </w:r>
    </w:p>
    <w:p>
      <w:r>
        <w:rPr>
          <w:b/>
        </w:rPr>
        <w:t>E. 3</w:t>
      </w:r>
    </w:p>
    <w:p>
      <w:r>
        <w:t>a) Mit Verwaltungsgerichtsbeschwerde kann beim Bundesgericht die Verletzung von Bundesrecht, einschliesslich Õberschreitung oder Missbrauch des Ermessens, gerügt werden ( Art. 104 lit. a OG ); das Bundesgericht überprüft den angefochtenen Entscheid in dieser Hinsicht frei. Soweit als Vorinstanz eine richterliche Behörde entschieden hat, ist es an deren Feststellung des Sachverhalts jedoch gebunden, falls dieser nicht offensichtlich unrichtig, unvollständig oder unter Verletzung wesentlicher Verfahrensvorschriften ermittelt worden ist ( Art. 105 Abs. 2 OG ). Dies schliesst das Vorbringen von neuen tatsächlichen Behauptungen und Beweismitteln weitgehend aus ( BGE 114 Ib 27 E. 8b S. 33; FRITZ GYGI, Bundesverwaltungsrechtspflege, 2. Aufl., Bern 1983, S. 286/287). Insbesondere können nachträgliche Veränderungen des Sachverhalts in der Regel nicht mehr berücksichtigt werden, denn einer Behörde ist nicht vorzuwerfen, sie habe den Sachverhalt im Sinne von Art. 105 Abs. 2 OG fehlerhaft festgestellt, wenn sich dieser nach ihrem Entscheid verändert hat ( BGE 121 II 97 E. 1c S. 99 f.; BGE 107 Ib 167 E. 1b S. 169). Das Bundesgericht prüft den Haftentscheid deshalb grundsätzlich lediglich aufgrund der Sachlage, wie sie sich dem Haftrichter präsentierte. Was der Beschwerdeführer dort nicht ausdrücklich vortrug oder was sich nicht offensichtlich aus den damals bekannten Akten ergab, darf es bei seinem Entscheid an sich nicht berücksichtigen. Neue Sachvorbringen sind durch den kantonalen Richter (soweit nicht allenfalls die Voraussetzungen einer Revision gegeben sind) bei der Prüfung eines Haftentlassungsgesuchs oder im Rahmen des nach dreimonatiger Dauer der Ausschaffungshaft fälligen Haftverlängerungsverfahrens zu berücksichtigen (so unveröffentlichte Urteile vom 20. Juni 1995 i.S. Miri, E. 3; vom 29. September 1995 i.S. Gavazi, E. 2; jüngst bestätigt im unveröffentlichten Entscheid vom 28. April 1999 i.S. Toth, E. 1b). BGE 125 II 217 S. 222 b) aa) Unter dieser beschränkten Õberprüfungsbefugnis ist der angefochtene Entscheid nicht zu beanstanden: Der Haftrichter prüfte das Entlassungsgesuch des Beschwerdeführers am 29. März 1999 zu einem Zeitpunkt, als die Luftangriffe der NATO auf Jugoslawien erst begonnen hatten und noch davon ausgegangen werden konnte, dass diese relativ kurzfristig abgeschlossen würden. Ihm lag ein Schreiben des Bundesamts für Flüchtlinge vom 26. Februar 1999 vor, wonach der Beschwerdeführer wegen seines strafrechtlich relevanten Verhaltens von der generellen Verlängerung der Ausreisefrist ausgenommen und die Wegweisung deshalb unverzüglich zu vollziehen sei; gestützt hierauf durfte er davon ausgehen, die Wegweisung sei nach wie vor nicht offensichtlich unzulässig. Am 26. März 1999 hatte das Bundesamt zwar mitgeteilt, dass für die Zeit vom 26. März bis 9. April 1999 alle geplanten Rückführungen in die Bundesrepublik Jugoslawien eingestellt seien, weil die Fluggesellschaft JAT derzeit nicht in der Lage sei, die Flüge mit Sicherheit durchzuführen; ohne anders lautende Verfügung würden die Rückführungen ab diesem Zeitpunkt aber wieder aufgenommen. Unter diesen Umständen konnte eine rechtliche oder tatsächliche Unmöglichkeit des Wegweisungsvollzugs (noch) ohne Verletzung von Bundesrecht verneint werden, war die Ausschaffung des Beschwerdeführers gestützt auf die Erklärungen des Bundesamts zu diesem Zeitpunkt doch nach wie vor absehbar. bb) Heute hat die entsprechende Einschätzung indessen anders auszusehen: Der Bundesrat hat am 7. April 1999 die gruppenweise vorläufige Aufnahme jener jugoslawischen Staatsangehörigen beschlossen, «die in der Schweiz keine ordentliche fremdenrechtliche Aufenthaltsbewilligung erhalten können oder die ein Asylgesuch gestellt haben und bei denen feststeht, dass sie ihren letzten Wohnsitz in der Provinz Kosovo hatten»; er hat damit entsprechende Wegweisungsvollzüge als zurzeit unzumutbar bewertet. Zwar hat er diesen Beschluss am 28. April 1999 insofern präzisiert, als davon Personen ausgenommen sind, «bei denen festgestellt wird, dass sie die öffentliche Sicherheit und Ordnung verletzt haben oder in schwerwiegender Weise gefährden oder sich der Gewaltanwendung oder massiver Drohungen gegen das Personal von Wohneinrichtungen für Asylsuchende sowie gegen Mitglieder und Angestellte der Fürsorgebehörden schuldig gemacht haben» (Ziff. 10 lit. c des BRB vom 28. April 1999; vgl. Art. 14a Abs. 6 ANAG ). Gemäss der Vernehmlassung des Bundesamts für Ausländerfragen ist dabei an schwere oder wiederholte Zuwiderhandlungen gegen Strafbestimmungen BGE 125 II 217 S. 223 des Betäubungsmittelgesetzes, des Strafgesetzbuches (insbesondere Delikte gegen Leib und Leben, Vermögensdelikte, Verbrechen und Vergehen gegen die Freiheit, strafbare Handlungen gegen die sexuelle Integrität, gemeingefährliche Delikte, strafbare Handlungen gegen die öffentliche Gewalt usw.) sowie des Strassenverkehrsgesetzes zu denken; davon ausgenommen seien Bagatelldelikte (z.B. Entwendungen, geringfügige ANAG- oder SVG-Õbertretungen). Losgelöst von der Frage, ob das strafrechtlich relevante Verhalten des Beschwerdeführers diese Schwere erreicht - was, wie dargelegt nicht durch den Haftrichter, sondern die Asyl- bzw. Fremdenpolizeibehörden zu beurteilen ist -, hält das Bundesamt in seiner Vernehmlassung fest, dass zurzeit aufgrund der aktuellen Lage der angeordnete Wegweisungsvollzug «technisch nicht durchführbar» sei. Wie lange dieser Zustand dauern werde, sei momentan nicht absehbar. Sollte sich die Situation entspannen, bestehe die feste Absicht, möglichst rasch mit den Behörden der Bundesrepublik Jugoslawien Kontakt aufzunehmen, um die Rückführung von weg- und ausgewiesenen Personen gemäss Rücknahmeabkommen wieder aufzunehmen, selbst wenn nach den politischen und militärischen Auseinandersetzungen der letzten Tage eine solche Kontaktaufnahme nicht einfach sein werde. Es stehe somit noch nicht fest, dass der Vollzug der Wegweisung des Beschwerdeführers nicht bis zum Ende der längstmöglichen Ausschaffungshaft (23. November 1999) erfolgen könnte. Das Bundesamt übersieht dabei indessen, dass nach der Rechtsprechung der Vollzug der Wegweisung «absehbar» sein muss. Bei der hierfür erforderlichen Prognose ist - ohne besondere Gründe, wie etwa eine vom Betroffenen ausgehende ernsthafte Bedrohung oder erhebliche Gefährdung von Personen im Sinne des Haftgrunds von Art. 13a lit. e ANAG (in Verbindung mit Art. 13b Abs. 1 lit. b ANAG ), welche die Verhältnismässigkeit der Aufrechterhaltung der Haft wegen eines überwiegenden öffentlichen Interesses in einem anderen Licht erscheinen lassen könnten - nicht zum Vornherein auf die maximal mögliche Haftdauer von neun Monaten abzustellen (vgl. Art. 13b Abs. 2 ANAG und BGE 122 II 148 E. 3 S. 153). Die vage Möglichkeit, dass - wie das Bundesamt ausführt - nicht «völlig ausgeschlossen» ist, dass eine Rückschaffung in den Kosovo noch dieses Jahr wieder möglich sein könnte, genügt in Fällen wie dem vorliegenden zu einer Aufrechterhaltung der Haft trotz der aktuellen technischen Unmöglichkeit des Wegweisungsvollzugs in den Kosovo nicht. Nach Art. 5 Ziff. 1 lit. f EMRK muss das Ausweisungsverfahren BGE 125 II 217 S. 224 «schwebend» sein, was voraussetzt, dass mit dem Vollzug der Wegweisung, zu deren Sicherstellung die Ausschaffungshaft ausschliesslich dient (vgl. BGE 122 II 49 E. 5a S. 53; PETER UEBERSAX, Menschenrechtlicher Schutz bei fremdenpolizeilichen Einsperrungen, in: recht 1995 S. 62 f.), ernsthaft zu rechnen ist. Gestützt auf die aktuelle Situation kann dies hinsichtlich des Beschwerdeführers zurzeit nicht mehr angenommen werden, und die Haft erweist sich deshalb als unverhältnismässig. c) Aufgrund der konkreten Verhältnisse des Einzelfalls und mit Blick auf Art. 5 Ziff. 1 lit. f EMRK ist das Bundesgericht -im Gegensatz zur dargestellten Praxis (vgl. E. 3a) - vorliegend verfahrensrechtlich nicht an die Sachverhaltsfeststellungen des Haft-richters und an das Novenverbot gebunden; es kann deshalb den veränderten Umständen in seinem Urteil selber unmittelbar Rechnung tragen: aa) Die Fremdenpolizei hat nach der Rechtsprechung die Rechtmässigkeit und Verhältnismässigkeit der Haft fortlaufend zu prüfen und dabei insbesondere zu berücksichtigen, ob allenfalls einer der in Art. 13c Abs. 5 ANAG genannten Haftbeendigungsgründe eingetreten ist. Ihre jeweilige Beurteilung kann im Rahmen der vom Gesetz vorgesehenen, regelmässigen, obligatorischen und fakultativen Haftkontrollverfahren (zumindest) alle zwei Monate richterlich geprüft werden ( BGE 124 II 1 E. 2c S. 5). Der Haftrichter hat seinerseits ein innerhalb der vom Gesetz vorgesehenen Sperrfristen eingereichtes Entlassungsgesuch an die Hand zu nehmen, wenn sich die Haft aufgrund neuer Umstände augenfällig als rechtswidrig erweist. Es geht - wie das Bundesgericht bereits festgestellt hat - nicht an, dass der inhaftierte Ausländer in solchen Fällen schutzlos bleibt und allenfalls lediglich aufsichtsrechtlich gegen die Fremdenpolizei vorgehen kann ( BGE 124 II 1 E. 3a S. 6; ANDREAS ZÜND, Zwangsmassnahmen im Ausländerrecht, Verfahrensfragen und Rechtsschutz, in AJP 7/95 S. 863 f.). bb) Die Fremdenpolizei des Kantons Bern hat sich geweigert, den Beschwerdeführer aus der Haft zu entlassen; dies solle der Haft- richter beurteilen. Dessen negativer Entscheid vom 29. März 1999 war - wie dargelegt - als solcher zwar nicht bundesrechtswidrig, doch wäre er es heute gestützt auf die inzwischen veränderten Verhältnisse. Der Beschwerdeführer hat am 21. April 1999 ein weiteres Haftentlassungsgesuch eingereicht, das der Haftrichter dem Bundesgericht mit seiner Vernehmlassung am 27. April 1999 übermittelt hat, da es innerhalb der Sperrfrist von Art. 13c Abs. 4 ANAG BGE 125 II 217 S. 225 eingereicht worden sei und ihn deshalb nicht betreffe. Auf dieses hätte er nach dem Gesagten aber eintreten und die nötigen Konsequenzen ziehen müssen ( BGE 124 II 1 E. 3a S. 6), weshalb es sich als überspitzt formalistisch erwiese, die vorliegende Beschwerde dennoch ab- und die Sache bzw. das zweite Haftentlassungsgesuch im Sinne der Erwägungen an die an sich zuständigen kantonalen Behörden zurückzuweisen. Im Sinne einer Kompetenzattraktion ist die vorliegende Beschwerde deshalb gutzuheissen und direkt die Haftentlassung des Beschwerdeführers anzuordnen. Den kantonalen Behörden steht es selbstverständlich frei, diesem Kontrollauflagen zu machen und ihn, sobald sich ein Wegweisungsvollzug in die Bundesrepublik Jugoslawien wieder hinreichend konkretisiert, gegebenenfalls erneut in Haft zu nehmen. In der Zwischenzeit wäre mit Blick auf sein bisheriges Verhalten allenfalls eine Ein- oder Ausgrenzung im Sinne von Art. 13e ANAG zu prüfen, deren Missachtung eine Gefängnis- oder Haftstrafe nach sich ziehen könnte ( Art. 23a ANAG ; vgl. BGE 124 IV 280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